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2F9" w:rsidRPr="00A6483D" w:rsidRDefault="006652F9" w:rsidP="006652F9">
      <w:pPr>
        <w:pStyle w:val="Standard"/>
        <w:widowControl/>
        <w:autoSpaceDN w:val="0"/>
        <w:spacing w:line="360" w:lineRule="auto"/>
        <w:textAlignment w:val="auto"/>
        <w:rPr>
          <w:rFonts w:ascii="Calibri" w:hAnsi="Calibri"/>
          <w:b/>
          <w:bCs/>
          <w:sz w:val="28"/>
          <w:szCs w:val="28"/>
        </w:rPr>
      </w:pPr>
      <w:r w:rsidRPr="00A6483D">
        <w:rPr>
          <w:rFonts w:ascii="Calibri" w:hAnsi="Calibri"/>
          <w:b/>
          <w:bCs/>
          <w:sz w:val="28"/>
          <w:szCs w:val="28"/>
        </w:rPr>
        <w:t>STRESZCZENIE</w:t>
      </w:r>
    </w:p>
    <w:p w:rsidR="006652F9" w:rsidRPr="00A6483D" w:rsidRDefault="006652F9" w:rsidP="006652F9">
      <w:pPr>
        <w:pStyle w:val="Standard"/>
        <w:widowControl/>
        <w:spacing w:line="360" w:lineRule="auto"/>
        <w:ind w:firstLine="708"/>
        <w:rPr>
          <w:rFonts w:ascii="Calibri" w:hAnsi="Calibri"/>
          <w:b/>
          <w:bCs/>
          <w:sz w:val="28"/>
          <w:szCs w:val="28"/>
        </w:rPr>
      </w:pPr>
    </w:p>
    <w:p w:rsidR="006652F9" w:rsidRPr="00A6483D" w:rsidRDefault="006652F9" w:rsidP="006652F9">
      <w:pPr>
        <w:pStyle w:val="Standard"/>
        <w:widowControl/>
        <w:spacing w:after="0" w:line="360" w:lineRule="auto"/>
        <w:ind w:firstLine="708"/>
        <w:rPr>
          <w:rFonts w:ascii="Calibri" w:hAnsi="Calibri"/>
        </w:rPr>
      </w:pPr>
      <w:proofErr w:type="spellStart"/>
      <w:r w:rsidRPr="00A6483D">
        <w:rPr>
          <w:rFonts w:ascii="Calibri" w:hAnsi="Calibri"/>
        </w:rPr>
        <w:t>Limfangioleiomiomatoza</w:t>
      </w:r>
      <w:proofErr w:type="spellEnd"/>
      <w:r w:rsidRPr="00A6483D">
        <w:rPr>
          <w:rFonts w:ascii="Calibri" w:hAnsi="Calibri"/>
        </w:rPr>
        <w:t xml:space="preserve"> (LAM) jest rzadką chorobą spowodowaną niekontrolowaną proliferacją atypowych, niedojrzałych komórek obarczonych mutacją genów TSC1 i/lub TSC2, głównie w płucach, w przestrzeni pozaotrzewnowej i w węzłach chłonnych. W przebiegu tej choroby może dochodzić do powstawania </w:t>
      </w:r>
      <w:proofErr w:type="spellStart"/>
      <w:r w:rsidRPr="00A6483D">
        <w:rPr>
          <w:rFonts w:ascii="Calibri" w:hAnsi="Calibri"/>
        </w:rPr>
        <w:t>naczyniakomięśniakotłuszczaków</w:t>
      </w:r>
      <w:proofErr w:type="spellEnd"/>
      <w:r w:rsidRPr="00A6483D">
        <w:rPr>
          <w:rFonts w:ascii="Calibri" w:hAnsi="Calibri"/>
        </w:rPr>
        <w:t xml:space="preserve"> nerek (AML), </w:t>
      </w:r>
      <w:proofErr w:type="spellStart"/>
      <w:r w:rsidRPr="00A6483D">
        <w:rPr>
          <w:rFonts w:ascii="Calibri" w:hAnsi="Calibri"/>
        </w:rPr>
        <w:t>chłonkotoku</w:t>
      </w:r>
      <w:proofErr w:type="spellEnd"/>
      <w:r w:rsidRPr="00A6483D">
        <w:rPr>
          <w:rFonts w:ascii="Calibri" w:hAnsi="Calibri"/>
        </w:rPr>
        <w:t xml:space="preserve"> w jamie opłucnowej lub otrzewnej oraz do naczyniaków limfatycznych (LYMPH) w przestrzeni pozaotrzewnowej. Choroba prowadzi do torbielowatej destrukcji płuc, niewydolności oddechowej i nadciśnienia płucnego.</w:t>
      </w:r>
    </w:p>
    <w:p w:rsidR="006652F9" w:rsidRPr="00A6483D" w:rsidRDefault="006652F9" w:rsidP="006652F9">
      <w:pPr>
        <w:pStyle w:val="Standard"/>
        <w:widowControl/>
        <w:spacing w:after="0" w:line="360" w:lineRule="auto"/>
        <w:ind w:firstLine="708"/>
        <w:rPr>
          <w:rFonts w:ascii="Calibri" w:hAnsi="Calibri"/>
        </w:rPr>
      </w:pPr>
      <w:r w:rsidRPr="00A6483D">
        <w:rPr>
          <w:rFonts w:ascii="Calibri" w:hAnsi="Calibri"/>
        </w:rPr>
        <w:t xml:space="preserve">Lekiem zatwierdzonym do leczenia LAM jest </w:t>
      </w:r>
      <w:proofErr w:type="spellStart"/>
      <w:r w:rsidRPr="00A6483D">
        <w:rPr>
          <w:rFonts w:ascii="Calibri" w:hAnsi="Calibri"/>
        </w:rPr>
        <w:t>syrolimus</w:t>
      </w:r>
      <w:proofErr w:type="spellEnd"/>
      <w:r w:rsidRPr="00A6483D">
        <w:rPr>
          <w:rFonts w:ascii="Calibri" w:hAnsi="Calibri"/>
        </w:rPr>
        <w:t xml:space="preserve">. Doniesienia dotyczące efektów leczenia i działań niepożądanych wskazują na dużą zmienność populacyjną. Celem badania była ocena skuteczności i bezpieczeństwa terapii </w:t>
      </w:r>
      <w:proofErr w:type="spellStart"/>
      <w:r w:rsidRPr="00A6483D">
        <w:rPr>
          <w:rFonts w:ascii="Calibri" w:hAnsi="Calibri"/>
        </w:rPr>
        <w:t>syrolimusem</w:t>
      </w:r>
      <w:proofErr w:type="spellEnd"/>
      <w:r w:rsidRPr="00A6483D">
        <w:rPr>
          <w:rFonts w:ascii="Calibri" w:hAnsi="Calibri"/>
        </w:rPr>
        <w:t xml:space="preserve"> w populacji polskiej chorych z LAM. </w:t>
      </w:r>
    </w:p>
    <w:p w:rsidR="006652F9" w:rsidRPr="00A6483D" w:rsidRDefault="006652F9" w:rsidP="006652F9">
      <w:pPr>
        <w:pStyle w:val="Standard"/>
        <w:widowControl/>
        <w:spacing w:line="360" w:lineRule="auto"/>
        <w:ind w:firstLine="708"/>
        <w:rPr>
          <w:rFonts w:ascii="Calibri" w:hAnsi="Calibri"/>
        </w:rPr>
      </w:pPr>
    </w:p>
    <w:p w:rsidR="006652F9" w:rsidRPr="00A6483D" w:rsidRDefault="006652F9" w:rsidP="006652F9">
      <w:pPr>
        <w:pStyle w:val="Standard"/>
        <w:widowControl/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A6483D">
        <w:rPr>
          <w:rFonts w:ascii="Calibri" w:hAnsi="Calibri"/>
          <w:b/>
          <w:bCs/>
          <w:sz w:val="28"/>
          <w:szCs w:val="28"/>
        </w:rPr>
        <w:t>Materiał i metody</w:t>
      </w:r>
    </w:p>
    <w:p w:rsidR="006652F9" w:rsidRPr="00A6483D" w:rsidRDefault="006652F9" w:rsidP="006652F9">
      <w:pPr>
        <w:pStyle w:val="Standard"/>
        <w:widowControl/>
        <w:spacing w:line="360" w:lineRule="auto"/>
        <w:ind w:firstLine="708"/>
        <w:rPr>
          <w:rFonts w:ascii="Calibri" w:hAnsi="Calibri"/>
        </w:rPr>
      </w:pPr>
    </w:p>
    <w:p w:rsidR="006652F9" w:rsidRPr="00A6483D" w:rsidRDefault="006652F9" w:rsidP="006652F9">
      <w:pPr>
        <w:autoSpaceDE w:val="0"/>
        <w:autoSpaceDN w:val="0"/>
        <w:adjustRightInd w:val="0"/>
        <w:spacing w:after="0" w:line="360" w:lineRule="auto"/>
        <w:ind w:firstLine="708"/>
        <w:rPr>
          <w:rFonts w:cstheme="minorHAnsi"/>
          <w:sz w:val="24"/>
          <w:szCs w:val="24"/>
          <w:lang w:val="en-US"/>
        </w:rPr>
      </w:pPr>
      <w:r w:rsidRPr="00A6483D">
        <w:rPr>
          <w:sz w:val="24"/>
          <w:szCs w:val="24"/>
        </w:rPr>
        <w:t xml:space="preserve">Retrospektywnej analizie poddano grupę 71 pacjentów z pewnym rozpoznaniem LAM w wieku od 24 do 76 lat, u których w latach 2010 - 2020 zastosowano leczenie </w:t>
      </w:r>
      <w:proofErr w:type="spellStart"/>
      <w:r w:rsidRPr="00A6483D">
        <w:rPr>
          <w:sz w:val="24"/>
          <w:szCs w:val="24"/>
        </w:rPr>
        <w:t>syrolimusem</w:t>
      </w:r>
      <w:proofErr w:type="spellEnd"/>
      <w:r w:rsidRPr="00A6483D">
        <w:rPr>
          <w:sz w:val="24"/>
          <w:szCs w:val="24"/>
        </w:rPr>
        <w:t xml:space="preserve">. Zgromadzono dane obejmujące parametry demograficzne, wyniki czynnościowych testów płuc, obecność </w:t>
      </w:r>
      <w:proofErr w:type="spellStart"/>
      <w:r w:rsidRPr="00A6483D">
        <w:rPr>
          <w:sz w:val="24"/>
          <w:szCs w:val="24"/>
        </w:rPr>
        <w:t>chłonkotoku</w:t>
      </w:r>
      <w:proofErr w:type="spellEnd"/>
      <w:r w:rsidRPr="00A6483D">
        <w:rPr>
          <w:sz w:val="24"/>
          <w:szCs w:val="24"/>
        </w:rPr>
        <w:t xml:space="preserve"> w jamie opłucnowej i otrzewnej,  wielkość AML w nerkach, wielkość naczyniaków limfatycznych w przestrzeni zaotrzewnowej i występowanie odm opłucnowych. Dodatkowo oznaczono stężenia VEGF-D i </w:t>
      </w:r>
      <w:proofErr w:type="spellStart"/>
      <w:r w:rsidRPr="00A6483D">
        <w:rPr>
          <w:sz w:val="24"/>
          <w:szCs w:val="24"/>
        </w:rPr>
        <w:t>syrolimusu</w:t>
      </w:r>
      <w:proofErr w:type="spellEnd"/>
      <w:r w:rsidRPr="00A6483D">
        <w:rPr>
          <w:sz w:val="24"/>
          <w:szCs w:val="24"/>
        </w:rPr>
        <w:t xml:space="preserve"> w surowicy. Przeprowadzono analizę przydatności stężenia VEGF-D w surowicy jako markera odpowiedzi na leczenie. Badano również efekty niepożądane leczenia </w:t>
      </w:r>
      <w:proofErr w:type="spellStart"/>
      <w:r w:rsidRPr="00A6483D">
        <w:rPr>
          <w:sz w:val="24"/>
          <w:szCs w:val="24"/>
        </w:rPr>
        <w:t>syrolimusem</w:t>
      </w:r>
      <w:proofErr w:type="spellEnd"/>
      <w:r w:rsidRPr="00A6483D">
        <w:rPr>
          <w:sz w:val="24"/>
          <w:szCs w:val="24"/>
        </w:rPr>
        <w:t>. Chorych oceniano w chwili rozpoczęcia leczenia, po 3 miesiącach, roku, 2 i 5 latach terapii.</w:t>
      </w:r>
      <w:r w:rsidRPr="00A6483D">
        <w:rPr>
          <w:rFonts w:cstheme="minorHAnsi"/>
          <w:sz w:val="24"/>
          <w:szCs w:val="24"/>
          <w:lang w:val="en-US"/>
        </w:rPr>
        <w:t xml:space="preserve"> </w:t>
      </w:r>
    </w:p>
    <w:p w:rsidR="006652F9" w:rsidRPr="00A6483D" w:rsidRDefault="006652F9" w:rsidP="006652F9">
      <w:pPr>
        <w:pStyle w:val="Standard"/>
        <w:widowControl/>
        <w:spacing w:line="360" w:lineRule="auto"/>
        <w:ind w:firstLine="708"/>
        <w:rPr>
          <w:rFonts w:ascii="Calibri" w:hAnsi="Calibri"/>
        </w:rPr>
      </w:pPr>
    </w:p>
    <w:p w:rsidR="006652F9" w:rsidRPr="00A6483D" w:rsidRDefault="006652F9" w:rsidP="006652F9">
      <w:pPr>
        <w:pStyle w:val="Standard"/>
        <w:widowControl/>
        <w:spacing w:line="360" w:lineRule="auto"/>
        <w:rPr>
          <w:rFonts w:ascii="Calibri" w:hAnsi="Calibri"/>
        </w:rPr>
      </w:pPr>
    </w:p>
    <w:p w:rsidR="006652F9" w:rsidRPr="00A6483D" w:rsidRDefault="006652F9" w:rsidP="006652F9">
      <w:pPr>
        <w:pStyle w:val="Standard"/>
        <w:widowControl/>
        <w:spacing w:line="360" w:lineRule="auto"/>
        <w:rPr>
          <w:rFonts w:ascii="Calibri" w:hAnsi="Calibri"/>
        </w:rPr>
      </w:pPr>
    </w:p>
    <w:p w:rsidR="006652F9" w:rsidRPr="00A6483D" w:rsidRDefault="006652F9" w:rsidP="006652F9">
      <w:pPr>
        <w:pStyle w:val="Standard"/>
        <w:widowControl/>
        <w:spacing w:line="360" w:lineRule="auto"/>
        <w:rPr>
          <w:rFonts w:ascii="Calibri" w:hAnsi="Calibri"/>
          <w:b/>
          <w:bCs/>
          <w:sz w:val="28"/>
          <w:szCs w:val="28"/>
        </w:rPr>
      </w:pPr>
      <w:r w:rsidRPr="00A6483D">
        <w:rPr>
          <w:rFonts w:ascii="Calibri" w:hAnsi="Calibri"/>
          <w:b/>
          <w:bCs/>
          <w:sz w:val="28"/>
          <w:szCs w:val="28"/>
        </w:rPr>
        <w:lastRenderedPageBreak/>
        <w:t>Wyniki</w:t>
      </w:r>
    </w:p>
    <w:p w:rsidR="006652F9" w:rsidRPr="00A6483D" w:rsidRDefault="006652F9" w:rsidP="006652F9">
      <w:pPr>
        <w:pStyle w:val="Standard"/>
        <w:widowControl/>
        <w:spacing w:after="0" w:line="360" w:lineRule="auto"/>
        <w:ind w:firstLine="708"/>
        <w:rPr>
          <w:rFonts w:asciiTheme="minorHAnsi" w:hAnsiTheme="minorHAnsi" w:cstheme="minorHAnsi"/>
        </w:rPr>
      </w:pPr>
      <w:r w:rsidRPr="00A6483D">
        <w:rPr>
          <w:rFonts w:asciiTheme="minorHAnsi" w:hAnsiTheme="minorHAnsi" w:cstheme="minorHAnsi"/>
        </w:rPr>
        <w:t xml:space="preserve">Po 5 latach leczenia </w:t>
      </w:r>
      <w:proofErr w:type="spellStart"/>
      <w:r w:rsidRPr="00A6483D">
        <w:rPr>
          <w:rFonts w:asciiTheme="minorHAnsi" w:hAnsiTheme="minorHAnsi" w:cstheme="minorHAnsi"/>
        </w:rPr>
        <w:t>syrolimusem</w:t>
      </w:r>
      <w:proofErr w:type="spellEnd"/>
      <w:r w:rsidRPr="00A6483D">
        <w:rPr>
          <w:rFonts w:asciiTheme="minorHAnsi" w:hAnsiTheme="minorHAnsi" w:cstheme="minorHAnsi"/>
        </w:rPr>
        <w:t xml:space="preserve"> poprawę zanotowano u 25 (35%) pacjentów, stabilizację u 37 (52%) chorych zaś pogorszenie obserwowano u 9 (13%) pacjentów, w tym u 5, u których terapię przerwano z uwagi na efekty niepożądane. </w:t>
      </w:r>
    </w:p>
    <w:p w:rsidR="006652F9" w:rsidRPr="00A6483D" w:rsidRDefault="006652F9" w:rsidP="006652F9">
      <w:pPr>
        <w:pStyle w:val="Standard"/>
        <w:widowControl/>
        <w:spacing w:after="0" w:line="360" w:lineRule="auto"/>
        <w:ind w:firstLine="708"/>
        <w:rPr>
          <w:rFonts w:asciiTheme="minorHAnsi" w:hAnsiTheme="minorHAnsi" w:cstheme="minorHAnsi"/>
        </w:rPr>
      </w:pPr>
      <w:r w:rsidRPr="00A6483D">
        <w:rPr>
          <w:rFonts w:ascii="Calibri" w:hAnsi="Calibri"/>
        </w:rPr>
        <w:t xml:space="preserve">Rok leczenia </w:t>
      </w:r>
      <w:proofErr w:type="spellStart"/>
      <w:r w:rsidRPr="00A6483D">
        <w:rPr>
          <w:rFonts w:ascii="Calibri" w:hAnsi="Calibri"/>
        </w:rPr>
        <w:t>syrolimusem</w:t>
      </w:r>
      <w:proofErr w:type="spellEnd"/>
      <w:r w:rsidRPr="00A6483D">
        <w:rPr>
          <w:rFonts w:ascii="Calibri" w:hAnsi="Calibri"/>
        </w:rPr>
        <w:t xml:space="preserve"> skutkował wzrostem średnich wartości: FVC (3,11 </w:t>
      </w:r>
      <w:r w:rsidRPr="00A6483D">
        <w:rPr>
          <w:rFonts w:ascii="Calibri" w:hAnsi="Calibri" w:cs="Calibri"/>
        </w:rPr>
        <w:t>±</w:t>
      </w:r>
      <w:r w:rsidRPr="00A6483D">
        <w:rPr>
          <w:rFonts w:ascii="Calibri" w:hAnsi="Calibri"/>
        </w:rPr>
        <w:t xml:space="preserve"> 0,68 3,33 </w:t>
      </w:r>
      <w:r w:rsidRPr="00A6483D">
        <w:rPr>
          <w:rFonts w:ascii="Calibri" w:hAnsi="Calibri" w:cs="Calibri"/>
        </w:rPr>
        <w:t xml:space="preserve">± </w:t>
      </w:r>
      <w:r w:rsidRPr="00A6483D">
        <w:rPr>
          <w:rFonts w:ascii="Calibri" w:hAnsi="Calibri"/>
        </w:rPr>
        <w:t xml:space="preserve">0,71l; p&lt;0,000) i FEV1 (2,10 </w:t>
      </w:r>
      <w:r w:rsidRPr="00A6483D">
        <w:rPr>
          <w:rFonts w:ascii="Calibri" w:hAnsi="Calibri" w:cs="Calibri"/>
        </w:rPr>
        <w:t>± 0,75 vs. 2,23  ± 0,80l; p=0,026) oraz dystansu w 6 MWT (</w:t>
      </w:r>
      <w:r w:rsidRPr="00A6483D">
        <w:t xml:space="preserve">495,48 </w:t>
      </w:r>
      <w:r w:rsidRPr="00A6483D">
        <w:rPr>
          <w:rFonts w:ascii="Calibri" w:hAnsi="Calibri" w:cs="Calibri"/>
        </w:rPr>
        <w:t xml:space="preserve">± 103,29 </w:t>
      </w:r>
      <w:r w:rsidRPr="00A6483D">
        <w:t xml:space="preserve">vs. 534,49 </w:t>
      </w:r>
      <w:r w:rsidRPr="00A6483D">
        <w:rPr>
          <w:rFonts w:ascii="Calibri" w:hAnsi="Calibri" w:cs="Calibri"/>
        </w:rPr>
        <w:t xml:space="preserve">± 97,98m; p&lt;0,000) z późniejszą stabilizacją tych parametrów. Już w trakcie pierwszego roku leczenia u wszystkich pacjentów z </w:t>
      </w:r>
      <w:proofErr w:type="spellStart"/>
      <w:r w:rsidRPr="00A6483D">
        <w:rPr>
          <w:rFonts w:ascii="Calibri" w:hAnsi="Calibri" w:cs="Calibri"/>
        </w:rPr>
        <w:t>chłonkotokiem</w:t>
      </w:r>
      <w:proofErr w:type="spellEnd"/>
      <w:r w:rsidRPr="00A6483D">
        <w:rPr>
          <w:rFonts w:ascii="Calibri" w:hAnsi="Calibri" w:cs="Calibri"/>
        </w:rPr>
        <w:t xml:space="preserve"> w jamie opłucnowej i otrzewnej doszło do całkowitej jego regresji. Po 5 latach terapii zaobserwowano 52-procentową redukcję wielkości AML i 62-procentowe zmniejszenie wielkości LYMPH. Ponadto w trakcie trwania badania wykazano obniżenie średniego stężenia VEGF-D w surowicy (1964 ± 1206 do 941 ± 469 </w:t>
      </w:r>
      <w:proofErr w:type="spellStart"/>
      <w:r w:rsidRPr="00A6483D">
        <w:rPr>
          <w:rFonts w:ascii="Calibri" w:hAnsi="Calibri" w:cs="Calibri"/>
        </w:rPr>
        <w:t>pg</w:t>
      </w:r>
      <w:proofErr w:type="spellEnd"/>
      <w:r w:rsidRPr="00A6483D">
        <w:rPr>
          <w:rFonts w:ascii="Calibri" w:hAnsi="Calibri" w:cs="Calibri"/>
        </w:rPr>
        <w:t xml:space="preserve">/ml; p&lt;0,000). Stężenie VEGF-D  w surowicy  korelowało z </w:t>
      </w:r>
      <w:r w:rsidRPr="00A6483D">
        <w:rPr>
          <w:rFonts w:asciiTheme="minorHAnsi" w:hAnsiTheme="minorHAnsi" w:cstheme="minorHAnsi"/>
        </w:rPr>
        <w:t xml:space="preserve">ustąpieniem </w:t>
      </w:r>
      <w:proofErr w:type="spellStart"/>
      <w:r w:rsidRPr="00A6483D">
        <w:rPr>
          <w:rFonts w:asciiTheme="minorHAnsi" w:hAnsiTheme="minorHAnsi" w:cstheme="minorHAnsi"/>
        </w:rPr>
        <w:t>chłonkotoku</w:t>
      </w:r>
      <w:proofErr w:type="spellEnd"/>
      <w:r w:rsidRPr="00A6483D">
        <w:rPr>
          <w:rFonts w:asciiTheme="minorHAnsi" w:hAnsiTheme="minorHAnsi" w:cstheme="minorHAnsi"/>
        </w:rPr>
        <w:t xml:space="preserve"> (R=0,453; p&lt;0,000) i zmniejszeniem LYMPH (R=0,423; p&lt;0,000).</w:t>
      </w:r>
      <w:r w:rsidRPr="00A6483D">
        <w:rPr>
          <w:rFonts w:ascii="Calibri" w:hAnsi="Calibri" w:cs="Calibri"/>
        </w:rPr>
        <w:t xml:space="preserve"> </w:t>
      </w:r>
      <w:r w:rsidRPr="00A6483D">
        <w:rPr>
          <w:rFonts w:asciiTheme="minorHAnsi" w:hAnsiTheme="minorHAnsi" w:cstheme="minorHAnsi"/>
        </w:rPr>
        <w:t xml:space="preserve">Nie odnotowano zależności między obniżeniem stężenia VEGF-D w surowicy a redukcją wielkości AML czy poprawą parametrów badań czynnościowych płuc. </w:t>
      </w:r>
      <w:r w:rsidRPr="00A6483D">
        <w:rPr>
          <w:rFonts w:ascii="Calibri" w:hAnsi="Calibri" w:cs="Calibri"/>
        </w:rPr>
        <w:t xml:space="preserve">Najczęstszymi efektami niepożądanymi były hipercholesterolemia (22%) i zaburzenia gospodarki lipidowej (18%), infekcje dróg oddechowych (22%), zaburzenia miesiączkowania (17%), trądzik (15%), afty błony śluzowej jamy ustnej (6%) oraz zaburzenia żołądkowo-jelitowe (4%). Większość wyżej wymienionych efektów była łagodna i jedynie w 6% przypadków była powodem zaprzestania leczenia. Wyższe stężenia </w:t>
      </w:r>
      <w:proofErr w:type="spellStart"/>
      <w:r w:rsidRPr="00A6483D">
        <w:rPr>
          <w:rFonts w:ascii="Calibri" w:hAnsi="Calibri" w:cs="Calibri"/>
        </w:rPr>
        <w:t>syrolimusu</w:t>
      </w:r>
      <w:proofErr w:type="spellEnd"/>
      <w:r w:rsidRPr="00A6483D">
        <w:rPr>
          <w:rFonts w:ascii="Calibri" w:hAnsi="Calibri" w:cs="Calibri"/>
        </w:rPr>
        <w:t xml:space="preserve"> wiązały się z występowaniem zmian śluzówkowych (p=0,002) i pojawieniem się zaburzeń gospodarki lipidowej (p=0,003). </w:t>
      </w:r>
    </w:p>
    <w:p w:rsidR="006652F9" w:rsidRPr="00A6483D" w:rsidRDefault="006652F9" w:rsidP="006652F9">
      <w:pPr>
        <w:pStyle w:val="Standard"/>
        <w:widowControl/>
        <w:spacing w:line="360" w:lineRule="auto"/>
        <w:rPr>
          <w:rFonts w:ascii="Calibri" w:hAnsi="Calibri" w:cs="Calibri"/>
        </w:rPr>
      </w:pPr>
    </w:p>
    <w:p w:rsidR="006652F9" w:rsidRPr="00A6483D" w:rsidRDefault="006652F9" w:rsidP="006652F9">
      <w:pPr>
        <w:pStyle w:val="Standard"/>
        <w:widowControl/>
        <w:spacing w:line="360" w:lineRule="auto"/>
        <w:ind w:firstLine="708"/>
        <w:rPr>
          <w:rFonts w:ascii="Calibri" w:hAnsi="Calibri" w:cs="Calibri"/>
          <w:b/>
          <w:bCs/>
          <w:sz w:val="28"/>
          <w:szCs w:val="28"/>
        </w:rPr>
      </w:pPr>
      <w:r w:rsidRPr="00A6483D">
        <w:rPr>
          <w:rFonts w:ascii="Calibri" w:hAnsi="Calibri" w:cs="Calibri"/>
          <w:b/>
          <w:bCs/>
          <w:sz w:val="28"/>
          <w:szCs w:val="28"/>
        </w:rPr>
        <w:t>Wnioski</w:t>
      </w:r>
    </w:p>
    <w:p w:rsidR="006652F9" w:rsidRPr="00A6483D" w:rsidRDefault="006652F9" w:rsidP="006652F9">
      <w:pPr>
        <w:pStyle w:val="Standard"/>
        <w:widowControl/>
        <w:spacing w:line="360" w:lineRule="auto"/>
        <w:ind w:firstLine="708"/>
        <w:rPr>
          <w:rFonts w:ascii="Calibri" w:hAnsi="Calibri" w:cs="Calibri"/>
        </w:rPr>
      </w:pPr>
    </w:p>
    <w:p w:rsidR="009B0DD2" w:rsidRPr="006652F9" w:rsidRDefault="006652F9" w:rsidP="006652F9">
      <w:pPr>
        <w:pStyle w:val="Standard"/>
        <w:widowControl/>
        <w:spacing w:after="0" w:line="360" w:lineRule="auto"/>
        <w:ind w:firstLine="708"/>
        <w:rPr>
          <w:rFonts w:ascii="Calibri" w:hAnsi="Calibri" w:cs="Calibri"/>
        </w:rPr>
      </w:pPr>
      <w:r w:rsidRPr="00A6483D">
        <w:rPr>
          <w:rFonts w:ascii="Calibri" w:hAnsi="Calibri" w:cs="Calibri"/>
        </w:rPr>
        <w:t xml:space="preserve">Potwierdzono skuteczność </w:t>
      </w:r>
      <w:proofErr w:type="spellStart"/>
      <w:r w:rsidRPr="00A6483D">
        <w:rPr>
          <w:rFonts w:ascii="Calibri" w:hAnsi="Calibri" w:cs="Calibri"/>
        </w:rPr>
        <w:t>syrolimusu</w:t>
      </w:r>
      <w:proofErr w:type="spellEnd"/>
      <w:r w:rsidRPr="00A6483D">
        <w:rPr>
          <w:rFonts w:ascii="Calibri" w:hAnsi="Calibri" w:cs="Calibri"/>
        </w:rPr>
        <w:t xml:space="preserve"> w leczeniu </w:t>
      </w:r>
      <w:proofErr w:type="spellStart"/>
      <w:r w:rsidRPr="00A6483D">
        <w:rPr>
          <w:rFonts w:ascii="Calibri" w:hAnsi="Calibri" w:cs="Calibri"/>
        </w:rPr>
        <w:t>limfangioleiomiomatozy</w:t>
      </w:r>
      <w:proofErr w:type="spellEnd"/>
      <w:r w:rsidRPr="00A6483D">
        <w:rPr>
          <w:rFonts w:ascii="Calibri" w:hAnsi="Calibri" w:cs="Calibri"/>
        </w:rPr>
        <w:t xml:space="preserve">. Terapia skutkowała poprawą parametrów wentylacyjnych płuc, zanikiem </w:t>
      </w:r>
      <w:proofErr w:type="spellStart"/>
      <w:r w:rsidRPr="00A6483D">
        <w:rPr>
          <w:rFonts w:ascii="Calibri" w:hAnsi="Calibri" w:cs="Calibri"/>
        </w:rPr>
        <w:t>chłonkotoku</w:t>
      </w:r>
      <w:proofErr w:type="spellEnd"/>
      <w:r w:rsidRPr="00A6483D">
        <w:rPr>
          <w:rFonts w:ascii="Calibri" w:hAnsi="Calibri" w:cs="Calibri"/>
        </w:rPr>
        <w:t xml:space="preserve">, redukcją wielkości AML i LYMPH oraz obniżeniem ryzyka odm opłucnowych. VEGF-D jest pomocnym markerem oceniającym aktywność choroby, szczególnie u pacjentów z zajęciem układu chłonnego. Długotrwałe stosowanie </w:t>
      </w:r>
      <w:proofErr w:type="spellStart"/>
      <w:r w:rsidRPr="00A6483D">
        <w:rPr>
          <w:rFonts w:ascii="Calibri" w:hAnsi="Calibri" w:cs="Calibri"/>
        </w:rPr>
        <w:t>syrolimusu</w:t>
      </w:r>
      <w:proofErr w:type="spellEnd"/>
      <w:r w:rsidRPr="00A6483D">
        <w:rPr>
          <w:rFonts w:ascii="Calibri" w:hAnsi="Calibri" w:cs="Calibri"/>
        </w:rPr>
        <w:t xml:space="preserve"> jest bezpieczne u pacjentów z LAM a jego efekty utrzymują się w trakcie wieloletniej obserwacji.</w:t>
      </w:r>
      <w:bookmarkStart w:id="0" w:name="_GoBack"/>
      <w:bookmarkEnd w:id="0"/>
    </w:p>
    <w:sectPr w:rsidR="009B0DD2" w:rsidRPr="00665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611CCC"/>
    <w:multiLevelType w:val="multilevel"/>
    <w:tmpl w:val="E9700F0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2F9"/>
    <w:rsid w:val="006652F9"/>
    <w:rsid w:val="009B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5BC3A"/>
  <w15:chartTrackingRefBased/>
  <w15:docId w15:val="{BFF8BCE3-4E8A-4EF9-B4A1-241B0046C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52F9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52F9"/>
    <w:pPr>
      <w:widowControl w:val="0"/>
      <w:spacing w:line="252" w:lineRule="auto"/>
      <w:jc w:val="both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2023-10-23T10:16:00Z</dcterms:created>
  <dcterms:modified xsi:type="dcterms:W3CDTF">2023-10-23T10:17:00Z</dcterms:modified>
</cp:coreProperties>
</file>